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3FD3F4D5" w:rsidR="00113721" w:rsidRPr="0017686D" w:rsidRDefault="00255627">
      <w:pPr>
        <w:rPr>
          <w:b/>
          <w:sz w:val="36"/>
          <w:szCs w:val="36"/>
        </w:rPr>
      </w:pPr>
      <w:r w:rsidRPr="0017686D">
        <w:rPr>
          <w:b/>
          <w:sz w:val="36"/>
          <w:szCs w:val="36"/>
        </w:rPr>
        <w:t>Vikings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82232D" w:rsidRPr="0017686D" w14:paraId="20AB6D0C" w14:textId="77777777" w:rsidTr="00CF380D">
        <w:tc>
          <w:tcPr>
            <w:tcW w:w="1276" w:type="dxa"/>
            <w:tcBorders>
              <w:bottom w:val="single" w:sz="4" w:space="0" w:color="auto"/>
            </w:tcBorders>
            <w:shd w:val="clear" w:color="auto" w:fill="D9D9D9" w:themeFill="background1" w:themeFillShade="D9"/>
            <w:vAlign w:val="center"/>
          </w:tcPr>
          <w:p w14:paraId="488672F6" w14:textId="014806B4" w:rsidR="0082232D" w:rsidRPr="0017686D" w:rsidRDefault="0082232D" w:rsidP="003814F2">
            <w:pPr>
              <w:spacing w:before="120"/>
              <w:rPr>
                <w:sz w:val="18"/>
              </w:rPr>
            </w:pPr>
            <w:r w:rsidRPr="0017686D">
              <w:rPr>
                <w:sz w:val="18"/>
              </w:rPr>
              <w:t>Level</w:t>
            </w:r>
          </w:p>
        </w:tc>
        <w:tc>
          <w:tcPr>
            <w:tcW w:w="8647" w:type="dxa"/>
            <w:tcBorders>
              <w:bottom w:val="single" w:sz="4" w:space="0" w:color="auto"/>
            </w:tcBorders>
          </w:tcPr>
          <w:p w14:paraId="68F52C25" w14:textId="515C0558" w:rsidR="0082232D" w:rsidRPr="0017686D" w:rsidRDefault="00273A4F" w:rsidP="0082232D">
            <w:pPr>
              <w:spacing w:before="120"/>
              <w:rPr>
                <w:sz w:val="18"/>
              </w:rPr>
            </w:pPr>
            <w:r w:rsidRPr="0017686D">
              <w:rPr>
                <w:sz w:val="18"/>
              </w:rPr>
              <w:t>K</w:t>
            </w:r>
            <w:r w:rsidR="00C92356">
              <w:rPr>
                <w:sz w:val="18"/>
              </w:rPr>
              <w:t xml:space="preserve"> </w:t>
            </w:r>
            <w:r w:rsidR="00C92356" w:rsidRPr="00C92356">
              <w:rPr>
                <w:sz w:val="18"/>
              </w:rPr>
              <w:t>(Fountas &amp; Pinnell) or equivalent</w:t>
            </w:r>
          </w:p>
        </w:tc>
      </w:tr>
      <w:tr w:rsidR="0082232D" w:rsidRPr="0017686D" w14:paraId="71AB91FD" w14:textId="77777777" w:rsidTr="00CF380D">
        <w:tc>
          <w:tcPr>
            <w:tcW w:w="1276" w:type="dxa"/>
            <w:tcBorders>
              <w:top w:val="single" w:sz="4" w:space="0" w:color="auto"/>
              <w:bottom w:val="single" w:sz="4" w:space="0" w:color="auto"/>
            </w:tcBorders>
            <w:shd w:val="clear" w:color="auto" w:fill="D9D9D9" w:themeFill="background1" w:themeFillShade="D9"/>
            <w:vAlign w:val="center"/>
          </w:tcPr>
          <w:p w14:paraId="6B832486" w14:textId="28C4234B" w:rsidR="0082232D" w:rsidRPr="0017686D" w:rsidRDefault="00C92356" w:rsidP="003814F2">
            <w:pPr>
              <w:spacing w:before="120"/>
              <w:rPr>
                <w:sz w:val="18"/>
              </w:rPr>
            </w:pPr>
            <w:r>
              <w:rPr>
                <w:sz w:val="18"/>
              </w:rPr>
              <w:t>Subject</w:t>
            </w:r>
            <w:r w:rsidR="0082232D" w:rsidRPr="0017686D">
              <w:rPr>
                <w:sz w:val="18"/>
              </w:rPr>
              <w:t xml:space="preserve"> Area</w:t>
            </w:r>
          </w:p>
        </w:tc>
        <w:tc>
          <w:tcPr>
            <w:tcW w:w="8647" w:type="dxa"/>
            <w:tcBorders>
              <w:top w:val="single" w:sz="4" w:space="0" w:color="auto"/>
              <w:bottom w:val="single" w:sz="4" w:space="0" w:color="auto"/>
            </w:tcBorders>
          </w:tcPr>
          <w:p w14:paraId="211D073E" w14:textId="099DFB33" w:rsidR="0082232D" w:rsidRPr="0017686D" w:rsidRDefault="00273A4F" w:rsidP="0082232D">
            <w:pPr>
              <w:spacing w:before="120"/>
              <w:rPr>
                <w:sz w:val="18"/>
              </w:rPr>
            </w:pPr>
            <w:r w:rsidRPr="0017686D">
              <w:rPr>
                <w:sz w:val="18"/>
              </w:rPr>
              <w:t>Social Science</w:t>
            </w:r>
          </w:p>
        </w:tc>
      </w:tr>
      <w:tr w:rsidR="00A57D15" w:rsidRPr="0017686D" w14:paraId="33F66253" w14:textId="77777777" w:rsidTr="00CF380D">
        <w:tc>
          <w:tcPr>
            <w:tcW w:w="1276" w:type="dxa"/>
            <w:tcBorders>
              <w:top w:val="single" w:sz="4" w:space="0" w:color="auto"/>
              <w:bottom w:val="single" w:sz="4" w:space="0" w:color="auto"/>
            </w:tcBorders>
            <w:shd w:val="clear" w:color="auto" w:fill="D9D9D9" w:themeFill="background1" w:themeFillShade="D9"/>
            <w:vAlign w:val="center"/>
          </w:tcPr>
          <w:p w14:paraId="468083DA" w14:textId="06DB14C3" w:rsidR="00A57D15" w:rsidRPr="0017686D" w:rsidRDefault="00A57D15" w:rsidP="003814F2">
            <w:pPr>
              <w:spacing w:before="120"/>
              <w:rPr>
                <w:sz w:val="18"/>
              </w:rPr>
            </w:pPr>
            <w:r>
              <w:rPr>
                <w:sz w:val="18"/>
              </w:rPr>
              <w:t>Concepts</w:t>
            </w:r>
          </w:p>
        </w:tc>
        <w:tc>
          <w:tcPr>
            <w:tcW w:w="8647" w:type="dxa"/>
            <w:tcBorders>
              <w:top w:val="single" w:sz="4" w:space="0" w:color="auto"/>
              <w:bottom w:val="single" w:sz="4" w:space="0" w:color="auto"/>
            </w:tcBorders>
          </w:tcPr>
          <w:p w14:paraId="4B4F1571" w14:textId="4E86C535" w:rsidR="00A57D15" w:rsidRPr="0017686D" w:rsidRDefault="00A57D15" w:rsidP="0082232D">
            <w:pPr>
              <w:spacing w:before="120"/>
              <w:rPr>
                <w:sz w:val="18"/>
              </w:rPr>
            </w:pPr>
            <w:r>
              <w:rPr>
                <w:sz w:val="18"/>
              </w:rPr>
              <w:t>Historical and cultural perspectives</w:t>
            </w:r>
          </w:p>
        </w:tc>
      </w:tr>
      <w:tr w:rsidR="0082232D" w:rsidRPr="0017686D" w14:paraId="085A40AD" w14:textId="77777777" w:rsidTr="00CF380D">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17686D" w:rsidRDefault="0082232D" w:rsidP="003814F2">
            <w:pPr>
              <w:spacing w:before="120"/>
              <w:rPr>
                <w:sz w:val="18"/>
              </w:rPr>
            </w:pPr>
            <w:r w:rsidRPr="0017686D">
              <w:rPr>
                <w:sz w:val="18"/>
              </w:rPr>
              <w:t>Reading Focus</w:t>
            </w:r>
          </w:p>
        </w:tc>
        <w:tc>
          <w:tcPr>
            <w:tcW w:w="8647" w:type="dxa"/>
            <w:tcBorders>
              <w:top w:val="single" w:sz="4" w:space="0" w:color="auto"/>
              <w:bottom w:val="single" w:sz="4" w:space="0" w:color="auto"/>
            </w:tcBorders>
          </w:tcPr>
          <w:p w14:paraId="21A9C0E8" w14:textId="09554CD5" w:rsidR="0082232D" w:rsidRPr="0017686D" w:rsidRDefault="00273A4F" w:rsidP="00670BDF">
            <w:pPr>
              <w:spacing w:before="120"/>
              <w:rPr>
                <w:sz w:val="18"/>
              </w:rPr>
            </w:pPr>
            <w:r w:rsidRPr="0017686D">
              <w:rPr>
                <w:sz w:val="18"/>
              </w:rPr>
              <w:t xml:space="preserve">Students will learn to </w:t>
            </w:r>
            <w:r w:rsidR="00670BDF" w:rsidRPr="0017686D">
              <w:rPr>
                <w:sz w:val="18"/>
              </w:rPr>
              <w:t>use the comprehension strategies of Asking Questions and Determining Important Ideas to Monitor Comprehension and Repair</w:t>
            </w:r>
            <w:r w:rsidR="00B81112" w:rsidRPr="0017686D">
              <w:rPr>
                <w:sz w:val="18"/>
              </w:rPr>
              <w:t xml:space="preserve"> U</w:t>
            </w:r>
            <w:r w:rsidRPr="0017686D">
              <w:rPr>
                <w:sz w:val="18"/>
              </w:rPr>
              <w:t>nderstanding as they read, think, talk</w:t>
            </w:r>
            <w:r w:rsidR="00C92356">
              <w:rPr>
                <w:sz w:val="18"/>
              </w:rPr>
              <w:t>,</w:t>
            </w:r>
            <w:r w:rsidRPr="0017686D">
              <w:rPr>
                <w:sz w:val="18"/>
              </w:rPr>
              <w:t xml:space="preserve"> and write in response to the text.</w:t>
            </w:r>
          </w:p>
        </w:tc>
      </w:tr>
      <w:tr w:rsidR="00BA5472" w:rsidRPr="0017686D" w14:paraId="10DF2A86" w14:textId="77777777" w:rsidTr="00CF380D">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17686D" w:rsidRDefault="00BA5472" w:rsidP="003814F2">
            <w:pPr>
              <w:spacing w:before="120"/>
              <w:rPr>
                <w:sz w:val="18"/>
              </w:rPr>
            </w:pPr>
            <w:r w:rsidRPr="0017686D">
              <w:rPr>
                <w:sz w:val="18"/>
              </w:rPr>
              <w:t>Text Type</w:t>
            </w:r>
          </w:p>
        </w:tc>
        <w:tc>
          <w:tcPr>
            <w:tcW w:w="8647" w:type="dxa"/>
            <w:tcBorders>
              <w:top w:val="single" w:sz="4" w:space="0" w:color="auto"/>
              <w:bottom w:val="single" w:sz="4" w:space="0" w:color="auto"/>
            </w:tcBorders>
          </w:tcPr>
          <w:p w14:paraId="264DC72F" w14:textId="3952E7BF" w:rsidR="00BA5472" w:rsidRPr="0017686D" w:rsidRDefault="00273A4F" w:rsidP="00BA5472">
            <w:pPr>
              <w:spacing w:before="120"/>
              <w:rPr>
                <w:sz w:val="18"/>
              </w:rPr>
            </w:pPr>
            <w:r w:rsidRPr="0017686D">
              <w:rPr>
                <w:sz w:val="18"/>
              </w:rPr>
              <w:t>Informational</w:t>
            </w:r>
          </w:p>
        </w:tc>
      </w:tr>
      <w:tr w:rsidR="00663E6D" w:rsidRPr="0017686D" w14:paraId="04838651" w14:textId="77777777" w:rsidTr="00CF380D">
        <w:tc>
          <w:tcPr>
            <w:tcW w:w="1276" w:type="dxa"/>
            <w:tcBorders>
              <w:top w:val="single" w:sz="4" w:space="0" w:color="auto"/>
            </w:tcBorders>
            <w:shd w:val="clear" w:color="auto" w:fill="D9D9D9" w:themeFill="background1" w:themeFillShade="D9"/>
            <w:vAlign w:val="center"/>
          </w:tcPr>
          <w:p w14:paraId="4486F609" w14:textId="1761B97F" w:rsidR="00663E6D" w:rsidRPr="0017686D" w:rsidRDefault="00B81112" w:rsidP="003814F2">
            <w:pPr>
              <w:spacing w:before="120"/>
              <w:rPr>
                <w:sz w:val="18"/>
              </w:rPr>
            </w:pPr>
            <w:r w:rsidRPr="0017686D">
              <w:rPr>
                <w:sz w:val="18"/>
              </w:rPr>
              <w:t>Academic V</w:t>
            </w:r>
            <w:r w:rsidR="00663E6D" w:rsidRPr="0017686D">
              <w:rPr>
                <w:sz w:val="18"/>
              </w:rPr>
              <w:t>ocabulary</w:t>
            </w:r>
          </w:p>
        </w:tc>
        <w:tc>
          <w:tcPr>
            <w:tcW w:w="8647" w:type="dxa"/>
            <w:tcBorders>
              <w:top w:val="single" w:sz="4" w:space="0" w:color="auto"/>
            </w:tcBorders>
          </w:tcPr>
          <w:p w14:paraId="089984AD" w14:textId="547F7907" w:rsidR="00663E6D" w:rsidRPr="0017686D" w:rsidRDefault="00273A4F" w:rsidP="00663E6D">
            <w:pPr>
              <w:spacing w:before="120"/>
              <w:rPr>
                <w:sz w:val="18"/>
              </w:rPr>
            </w:pPr>
            <w:r w:rsidRPr="0017686D">
              <w:rPr>
                <w:sz w:val="18"/>
              </w:rPr>
              <w:t>alphabet, America, building, bows and arrows, country, day, distance, explorer, England, farm, goods, history, idea, language, law, leader, middle, money, ocean, region, tool, town, trade, war, water</w:t>
            </w:r>
          </w:p>
        </w:tc>
      </w:tr>
    </w:tbl>
    <w:p w14:paraId="7A132968" w14:textId="77777777" w:rsidR="00663E6D" w:rsidRPr="0017686D" w:rsidRDefault="00663E6D" w:rsidP="00B81112">
      <w:pPr>
        <w:tabs>
          <w:tab w:val="left" w:pos="6127"/>
        </w:tabs>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rsidRPr="0017686D" w14:paraId="4B705F59" w14:textId="77777777" w:rsidTr="0008638D">
        <w:trPr>
          <w:trHeight w:val="2563"/>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17686D" w:rsidRDefault="00663E6D" w:rsidP="00663E6D">
            <w:pPr>
              <w:spacing w:before="120"/>
              <w:rPr>
                <w:b/>
              </w:rPr>
            </w:pPr>
            <w:r w:rsidRPr="0017686D">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483B9AF8" w14:textId="2F5EB1BA" w:rsidR="00255627" w:rsidRPr="0017686D" w:rsidRDefault="00255627" w:rsidP="00255627">
            <w:pPr>
              <w:pStyle w:val="ListParagraph"/>
              <w:numPr>
                <w:ilvl w:val="0"/>
                <w:numId w:val="1"/>
              </w:numPr>
              <w:spacing w:line="240" w:lineRule="auto"/>
            </w:pPr>
            <w:r w:rsidRPr="0017686D">
              <w:t>Ask students to think, pair, share</w:t>
            </w:r>
            <w:r w:rsidR="00A53711" w:rsidRPr="0017686D">
              <w:t xml:space="preserve">: “What things do you </w:t>
            </w:r>
            <w:r w:rsidR="00A57D15">
              <w:t xml:space="preserve">imagine or </w:t>
            </w:r>
            <w:r w:rsidR="00A53711" w:rsidRPr="0017686D">
              <w:t>think of when you hear the word Vikings?”</w:t>
            </w:r>
          </w:p>
          <w:p w14:paraId="6342B4F9" w14:textId="18828475" w:rsidR="00A53711" w:rsidRPr="0017686D" w:rsidRDefault="00255627" w:rsidP="00255627">
            <w:pPr>
              <w:pStyle w:val="ListParagraph"/>
              <w:numPr>
                <w:ilvl w:val="0"/>
                <w:numId w:val="1"/>
              </w:numPr>
              <w:spacing w:line="240" w:lineRule="auto"/>
            </w:pPr>
            <w:r w:rsidRPr="0017686D">
              <w:t>Read the book title and back cover blurb</w:t>
            </w:r>
            <w:r w:rsidR="00A53711" w:rsidRPr="0017686D">
              <w:t xml:space="preserve"> aloud.</w:t>
            </w:r>
          </w:p>
          <w:p w14:paraId="07E0E4AD" w14:textId="12C7DD53" w:rsidR="00A53711" w:rsidRPr="0017686D" w:rsidRDefault="00A53711" w:rsidP="00A53711">
            <w:pPr>
              <w:pStyle w:val="ListParagraph"/>
              <w:numPr>
                <w:ilvl w:val="0"/>
                <w:numId w:val="1"/>
              </w:numPr>
              <w:spacing w:line="240" w:lineRule="auto"/>
            </w:pPr>
            <w:r w:rsidRPr="0017686D">
              <w:t xml:space="preserve">Have students </w:t>
            </w:r>
            <w:r w:rsidR="00255627" w:rsidRPr="0017686D">
              <w:t>look cl</w:t>
            </w:r>
            <w:r w:rsidR="004E37AC" w:rsidRPr="0017686D">
              <w:t>osely at the cover of the book and think, pair, share about w</w:t>
            </w:r>
            <w:r w:rsidRPr="0017686D">
              <w:t xml:space="preserve">hat </w:t>
            </w:r>
            <w:r w:rsidR="004E37AC" w:rsidRPr="0017686D">
              <w:t>they see on the cover, and wha</w:t>
            </w:r>
            <w:r w:rsidR="00C41E05" w:rsidRPr="0017686D">
              <w:t>t it tells them about the book.</w:t>
            </w:r>
          </w:p>
          <w:p w14:paraId="43FF23B3" w14:textId="40196E77" w:rsidR="00663E6D" w:rsidRPr="0017686D" w:rsidRDefault="004E37AC" w:rsidP="00A53711">
            <w:pPr>
              <w:pStyle w:val="ListParagraph"/>
              <w:numPr>
                <w:ilvl w:val="0"/>
                <w:numId w:val="1"/>
              </w:numPr>
              <w:spacing w:line="240" w:lineRule="auto"/>
            </w:pPr>
            <w:r w:rsidRPr="0017686D">
              <w:t xml:space="preserve">Ask: “What type of book </w:t>
            </w:r>
            <w:r w:rsidR="002B249D">
              <w:t>do you think this is? Science, Social Studies, Math, or English L</w:t>
            </w:r>
            <w:r w:rsidRPr="0017686D">
              <w:t xml:space="preserve">anguage </w:t>
            </w:r>
            <w:r w:rsidR="002B249D">
              <w:t>A</w:t>
            </w:r>
            <w:r w:rsidRPr="0017686D">
              <w:t xml:space="preserve">rts?” </w:t>
            </w:r>
            <w:r w:rsidR="003D41D8" w:rsidRPr="0017686D">
              <w:t xml:space="preserve">Have some students share their </w:t>
            </w:r>
            <w:r w:rsidR="00A57D15" w:rsidRPr="0017686D">
              <w:t>ideas and</w:t>
            </w:r>
            <w:r w:rsidR="003D41D8" w:rsidRPr="0017686D">
              <w:t xml:space="preserve"> ask why they thought that.</w:t>
            </w:r>
          </w:p>
          <w:p w14:paraId="0253299F" w14:textId="51B79166" w:rsidR="00420C11" w:rsidRPr="0017686D" w:rsidRDefault="00E1523A" w:rsidP="002B249D">
            <w:pPr>
              <w:pStyle w:val="ListParagraph"/>
              <w:numPr>
                <w:ilvl w:val="0"/>
                <w:numId w:val="1"/>
              </w:numPr>
              <w:spacing w:line="240" w:lineRule="auto"/>
            </w:pPr>
            <w:r>
              <w:t xml:space="preserve">Explain that this book is most likely to be a </w:t>
            </w:r>
            <w:r w:rsidR="002B249D">
              <w:t>S</w:t>
            </w:r>
            <w:r>
              <w:t xml:space="preserve">ocial </w:t>
            </w:r>
            <w:r w:rsidR="00A57D15">
              <w:t>Studies book and</w:t>
            </w:r>
            <w:r>
              <w:t xml:space="preserve"> discuss what reading challenges there might be (e</w:t>
            </w:r>
            <w:r w:rsidR="00420C11" w:rsidRPr="0017686D">
              <w:t>.g., maps, breakouts, evidence).</w:t>
            </w:r>
          </w:p>
        </w:tc>
      </w:tr>
      <w:tr w:rsidR="00663E6D" w:rsidRPr="0017686D" w14:paraId="533B4C64" w14:textId="77777777" w:rsidTr="00CF380D">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0AE60865" w:rsidR="00663E6D" w:rsidRPr="0017686D" w:rsidRDefault="00663E6D" w:rsidP="00663E6D">
            <w:pPr>
              <w:spacing w:before="120"/>
              <w:rPr>
                <w:b/>
              </w:rPr>
            </w:pPr>
            <w:r w:rsidRPr="0017686D">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3D00A4CD" w14:textId="3A7A7FAC" w:rsidR="00255627" w:rsidRPr="0017686D" w:rsidRDefault="00255627" w:rsidP="00255627">
            <w:pPr>
              <w:pStyle w:val="ListParagraph"/>
              <w:numPr>
                <w:ilvl w:val="0"/>
                <w:numId w:val="1"/>
              </w:numPr>
              <w:spacing w:line="240" w:lineRule="auto"/>
            </w:pPr>
            <w:r w:rsidRPr="0017686D">
              <w:t>Open to the contents page and read th</w:t>
            </w:r>
            <w:r w:rsidR="00A53711" w:rsidRPr="0017686D">
              <w:t>e titles of the chapters aloud.</w:t>
            </w:r>
          </w:p>
          <w:p w14:paraId="5CBF14DA" w14:textId="67BF4BA9" w:rsidR="00255627" w:rsidRPr="0017686D" w:rsidRDefault="00255627" w:rsidP="00255627">
            <w:pPr>
              <w:pStyle w:val="ListParagraph"/>
              <w:numPr>
                <w:ilvl w:val="0"/>
                <w:numId w:val="1"/>
              </w:numPr>
              <w:spacing w:line="240" w:lineRule="auto"/>
            </w:pPr>
            <w:r w:rsidRPr="0017686D">
              <w:t xml:space="preserve">Have students think, pair, share </w:t>
            </w:r>
            <w:r w:rsidR="003B1C61" w:rsidRPr="0017686D">
              <w:t>any</w:t>
            </w:r>
            <w:r w:rsidRPr="0017686D">
              <w:t xml:space="preserve"> new things they have discovered about the book from the chapter titles.</w:t>
            </w:r>
          </w:p>
          <w:p w14:paraId="6FBA8DED" w14:textId="122C5899" w:rsidR="003B1C61" w:rsidRPr="0017686D" w:rsidRDefault="003B1C61" w:rsidP="003B1C61">
            <w:pPr>
              <w:pStyle w:val="ListParagraph"/>
              <w:numPr>
                <w:ilvl w:val="0"/>
                <w:numId w:val="1"/>
              </w:numPr>
              <w:spacing w:line="240" w:lineRule="auto"/>
            </w:pPr>
            <w:r w:rsidRPr="0017686D">
              <w:t>Model how to use the s</w:t>
            </w:r>
            <w:r w:rsidR="002B249D">
              <w:t>trategy of Asking Questions to m</w:t>
            </w:r>
            <w:r w:rsidRPr="0017686D">
              <w:t>onitor comprehension: “Looking at the chapters, I’m a bit confused by chapter 3. I’ve never seen those three nouns before. To help me understand</w:t>
            </w:r>
            <w:r w:rsidR="003E61DB" w:rsidRPr="0017686D">
              <w:t xml:space="preserve">, when I read </w:t>
            </w:r>
            <w:r w:rsidR="00A57D15" w:rsidRPr="0017686D">
              <w:t>it,</w:t>
            </w:r>
            <w:r w:rsidRPr="0017686D">
              <w:t xml:space="preserve"> I’m going </w:t>
            </w:r>
            <w:r w:rsidR="003E61DB" w:rsidRPr="0017686D">
              <w:t xml:space="preserve">to </w:t>
            </w:r>
            <w:r w:rsidRPr="0017686D">
              <w:t>think “What are Jarls, Karls and Thralls?” to help me learn what they are from the text</w:t>
            </w:r>
            <w:r w:rsidR="00C41E05" w:rsidRPr="0017686D">
              <w:t>.</w:t>
            </w:r>
          </w:p>
          <w:p w14:paraId="23641E06" w14:textId="5E1C58B4" w:rsidR="003B1C61" w:rsidRPr="0017686D" w:rsidRDefault="003B1C61" w:rsidP="003B1C61">
            <w:pPr>
              <w:pStyle w:val="ListParagraph"/>
              <w:numPr>
                <w:ilvl w:val="0"/>
                <w:numId w:val="1"/>
              </w:numPr>
              <w:spacing w:line="240" w:lineRule="auto"/>
            </w:pPr>
            <w:r w:rsidRPr="0017686D">
              <w:t xml:space="preserve">Discuss that reading text and then thinking “Huh?” afterwards is a sign that you might need to check your comprehension. Explain </w:t>
            </w:r>
            <w:r w:rsidR="00C41E05" w:rsidRPr="0017686D">
              <w:t xml:space="preserve">that </w:t>
            </w:r>
            <w:r w:rsidRPr="0017686D">
              <w:t xml:space="preserve">thinking of a question to ask helps to </w:t>
            </w:r>
            <w:r w:rsidR="00C41E05" w:rsidRPr="0017686D">
              <w:t>figure out</w:t>
            </w:r>
            <w:r w:rsidR="002B249D">
              <w:t xml:space="preserve"> what you might need </w:t>
            </w:r>
            <w:r w:rsidRPr="0017686D">
              <w:t xml:space="preserve">to </w:t>
            </w:r>
            <w:r w:rsidR="002B249D">
              <w:t>find out</w:t>
            </w:r>
            <w:r w:rsidRPr="0017686D">
              <w:t xml:space="preserve"> to fix-up your comprehension.</w:t>
            </w:r>
          </w:p>
          <w:p w14:paraId="396783E2" w14:textId="298FDADE" w:rsidR="00663E6D" w:rsidRPr="0017686D" w:rsidRDefault="00255627" w:rsidP="00255627">
            <w:pPr>
              <w:pStyle w:val="ListParagraph"/>
              <w:numPr>
                <w:ilvl w:val="0"/>
                <w:numId w:val="1"/>
              </w:numPr>
              <w:spacing w:line="240" w:lineRule="auto"/>
            </w:pPr>
            <w:r w:rsidRPr="0017686D">
              <w:t>Introduce students to “Nat the Ant” at the bottom of the page and read the speech bubble aloud.</w:t>
            </w:r>
          </w:p>
        </w:tc>
      </w:tr>
      <w:tr w:rsidR="00663E6D" w:rsidRPr="0017686D" w14:paraId="2B29415E" w14:textId="77777777" w:rsidTr="00CF380D">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62E3A5C5" w:rsidR="00663E6D" w:rsidRPr="0017686D" w:rsidRDefault="00B81112" w:rsidP="00663E6D">
            <w:pPr>
              <w:spacing w:before="120"/>
              <w:rPr>
                <w:b/>
              </w:rPr>
            </w:pPr>
            <w:r w:rsidRPr="0017686D">
              <w:rPr>
                <w:b/>
              </w:rPr>
              <w:t>Opening C</w:t>
            </w:r>
            <w:r w:rsidR="00663E6D" w:rsidRPr="0017686D">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2388DC74" w14:textId="5DA8E879" w:rsidR="00435B1E" w:rsidRPr="0017686D" w:rsidRDefault="00255627" w:rsidP="00435B1E">
            <w:pPr>
              <w:pStyle w:val="ListParagraph"/>
              <w:numPr>
                <w:ilvl w:val="0"/>
                <w:numId w:val="6"/>
              </w:numPr>
              <w:spacing w:line="240" w:lineRule="auto"/>
            </w:pPr>
            <w:r w:rsidRPr="0017686D">
              <w:t>Read the chapter 1 tit</w:t>
            </w:r>
            <w:r w:rsidR="00A53711" w:rsidRPr="0017686D">
              <w:t xml:space="preserve">le </w:t>
            </w:r>
            <w:r w:rsidR="002B249D">
              <w:t>and pages 2 and 3 aloud.</w:t>
            </w:r>
          </w:p>
          <w:p w14:paraId="0A744AA3" w14:textId="4400968E" w:rsidR="00435B1E" w:rsidRPr="0017686D" w:rsidRDefault="008A0BFC" w:rsidP="00435B1E">
            <w:pPr>
              <w:pStyle w:val="ListParagraph"/>
              <w:numPr>
                <w:ilvl w:val="0"/>
                <w:numId w:val="6"/>
              </w:numPr>
              <w:spacing w:line="240" w:lineRule="auto"/>
            </w:pPr>
            <w:r w:rsidRPr="0017686D">
              <w:t>Explain</w:t>
            </w:r>
            <w:r w:rsidR="00F42218" w:rsidRPr="0017686D">
              <w:t xml:space="preserve"> that on these pages, there are two </w:t>
            </w:r>
            <w:r w:rsidRPr="0017686D">
              <w:t xml:space="preserve">different explanations about what Vikings are, and that it could be </w:t>
            </w:r>
            <w:r w:rsidR="002B249D">
              <w:t>challenging</w:t>
            </w:r>
            <w:r w:rsidRPr="0017686D">
              <w:t xml:space="preserve"> to figure out what the author means. Discuss the important idea on page 3, that the Viking Age is a specific time when</w:t>
            </w:r>
            <w:r w:rsidR="003E61DB" w:rsidRPr="0017686D">
              <w:t xml:space="preserve"> Scandinavian</w:t>
            </w:r>
            <w:r w:rsidRPr="0017686D">
              <w:t xml:space="preserve"> people were known as Vikings, and why it is </w:t>
            </w:r>
            <w:r w:rsidR="002B249D">
              <w:t>an</w:t>
            </w:r>
            <w:r w:rsidRPr="0017686D">
              <w:t xml:space="preserve"> important idea</w:t>
            </w:r>
            <w:r w:rsidR="003E61DB" w:rsidRPr="0017686D">
              <w:t>.</w:t>
            </w:r>
          </w:p>
          <w:p w14:paraId="15033C19" w14:textId="7722153E" w:rsidR="008A0BFC" w:rsidRPr="0017686D" w:rsidRDefault="008A0BFC" w:rsidP="00435B1E">
            <w:pPr>
              <w:pStyle w:val="ListParagraph"/>
              <w:numPr>
                <w:ilvl w:val="0"/>
                <w:numId w:val="6"/>
              </w:numPr>
              <w:spacing w:line="240" w:lineRule="auto"/>
            </w:pPr>
            <w:r w:rsidRPr="0017686D">
              <w:lastRenderedPageBreak/>
              <w:t xml:space="preserve">Ask students to think, pair, share and identify supporting details for the important idea. </w:t>
            </w:r>
          </w:p>
          <w:p w14:paraId="2A600936" w14:textId="4B367458" w:rsidR="00435B1E" w:rsidRPr="0017686D" w:rsidRDefault="003E61DB" w:rsidP="00435B1E">
            <w:pPr>
              <w:pStyle w:val="ListParagraph"/>
              <w:numPr>
                <w:ilvl w:val="0"/>
                <w:numId w:val="6"/>
              </w:numPr>
              <w:spacing w:line="240" w:lineRule="auto"/>
            </w:pPr>
            <w:r w:rsidRPr="0017686D">
              <w:t>Read pages 4 and 5 together.</w:t>
            </w:r>
          </w:p>
          <w:p w14:paraId="72173ED4" w14:textId="30763726" w:rsidR="003E61DB" w:rsidRPr="0017686D" w:rsidRDefault="00954C13" w:rsidP="00435B1E">
            <w:pPr>
              <w:pStyle w:val="ListParagraph"/>
              <w:numPr>
                <w:ilvl w:val="0"/>
                <w:numId w:val="6"/>
              </w:numPr>
              <w:spacing w:line="240" w:lineRule="auto"/>
            </w:pPr>
            <w:r w:rsidRPr="0017686D">
              <w:t>Discuss the idea that all Vikings were Norse, but not all Norse people were necessarily Vikings.</w:t>
            </w:r>
          </w:p>
          <w:p w14:paraId="422E6C92" w14:textId="3190E39F" w:rsidR="00954C13" w:rsidRPr="0017686D" w:rsidRDefault="00954C13" w:rsidP="00435B1E">
            <w:pPr>
              <w:pStyle w:val="ListParagraph"/>
              <w:numPr>
                <w:ilvl w:val="0"/>
                <w:numId w:val="6"/>
              </w:numPr>
              <w:spacing w:line="240" w:lineRule="auto"/>
            </w:pPr>
            <w:r w:rsidRPr="0017686D">
              <w:t>Ask students to think, pair, share: “Why do you think this is known as the Viking Age, rather than the Norse age?”</w:t>
            </w:r>
          </w:p>
          <w:p w14:paraId="2063415E" w14:textId="4D731894" w:rsidR="00DA0CEA" w:rsidRPr="0017686D" w:rsidRDefault="00DA0CEA" w:rsidP="001616A1">
            <w:pPr>
              <w:pStyle w:val="ListParagraph"/>
              <w:numPr>
                <w:ilvl w:val="0"/>
                <w:numId w:val="6"/>
              </w:numPr>
              <w:spacing w:line="240" w:lineRule="auto"/>
            </w:pPr>
            <w:r w:rsidRPr="0017686D">
              <w:t>Before reading pages 6 and 7, ask students to n</w:t>
            </w:r>
            <w:r w:rsidR="00447C0C" w:rsidRPr="0017686D">
              <w:t>otice what is happening with the text</w:t>
            </w:r>
            <w:r w:rsidR="00435B1E" w:rsidRPr="0017686D">
              <w:t xml:space="preserve">. </w:t>
            </w:r>
            <w:r w:rsidRPr="0017686D">
              <w:t xml:space="preserve">Explain that the left page is a diary entry, the </w:t>
            </w:r>
            <w:r w:rsidR="00A57D15">
              <w:t>fact</w:t>
            </w:r>
            <w:r w:rsidR="00A57D15" w:rsidRPr="0017686D">
              <w:t xml:space="preserve"> boxes</w:t>
            </w:r>
            <w:r w:rsidRPr="0017686D">
              <w:t xml:space="preserve"> on the right page connect to the text, and both pages should be rea</w:t>
            </w:r>
            <w:r w:rsidR="00C41E05" w:rsidRPr="0017686D">
              <w:t>d together</w:t>
            </w:r>
            <w:r w:rsidR="002B249D">
              <w:t>,</w:t>
            </w:r>
            <w:r w:rsidR="00C41E05" w:rsidRPr="0017686D">
              <w:t xml:space="preserve"> going left to right.</w:t>
            </w:r>
          </w:p>
          <w:p w14:paraId="5B554C45" w14:textId="0719DC0B" w:rsidR="00DA0CEA" w:rsidRPr="0017686D" w:rsidRDefault="00C41E05" w:rsidP="001616A1">
            <w:pPr>
              <w:pStyle w:val="ListParagraph"/>
              <w:numPr>
                <w:ilvl w:val="0"/>
                <w:numId w:val="6"/>
              </w:numPr>
              <w:spacing w:line="240" w:lineRule="auto"/>
            </w:pPr>
            <w:r w:rsidRPr="0017686D">
              <w:t>Read pages 6 and 7 together.</w:t>
            </w:r>
          </w:p>
          <w:p w14:paraId="5BFB1145" w14:textId="6C3F79C8" w:rsidR="00DA0CEA" w:rsidRPr="0017686D" w:rsidRDefault="00DA0CEA" w:rsidP="001616A1">
            <w:pPr>
              <w:pStyle w:val="ListParagraph"/>
              <w:numPr>
                <w:ilvl w:val="0"/>
                <w:numId w:val="6"/>
              </w:numPr>
              <w:spacing w:line="240" w:lineRule="auto"/>
            </w:pPr>
            <w:r w:rsidRPr="0017686D">
              <w:t>Ask: “This is a different st</w:t>
            </w:r>
            <w:r w:rsidR="006C78ED" w:rsidRPr="0017686D">
              <w:t>yle to what we have read so far –</w:t>
            </w:r>
            <w:r w:rsidRPr="0017686D">
              <w:t xml:space="preserve"> what important idea is the author trying to </w:t>
            </w:r>
            <w:r w:rsidR="001D4C0B" w:rsidRPr="0017686D">
              <w:t>tell</w:t>
            </w:r>
            <w:r w:rsidR="00284884" w:rsidRPr="0017686D">
              <w:t xml:space="preserve"> us?”</w:t>
            </w:r>
          </w:p>
          <w:p w14:paraId="3A8069D7" w14:textId="5C6D6460" w:rsidR="00DA0CEA" w:rsidRPr="0017686D" w:rsidRDefault="00DA0CEA" w:rsidP="001616A1">
            <w:pPr>
              <w:pStyle w:val="ListParagraph"/>
              <w:numPr>
                <w:ilvl w:val="0"/>
                <w:numId w:val="6"/>
              </w:numPr>
              <w:spacing w:line="240" w:lineRule="auto"/>
            </w:pPr>
            <w:r w:rsidRPr="0017686D">
              <w:t>Discuss that the author is showing what daily life was like</w:t>
            </w:r>
            <w:r w:rsidR="001D4C0B" w:rsidRPr="0017686D">
              <w:t xml:space="preserve"> from the point-of-view of a </w:t>
            </w:r>
            <w:r w:rsidR="00A57D15" w:rsidRPr="0017686D">
              <w:t>Viking</w:t>
            </w:r>
            <w:r w:rsidRPr="0017686D">
              <w:t>, and the facts are supporting details to help us understand the different parts of Viking life.</w:t>
            </w:r>
          </w:p>
          <w:p w14:paraId="1864E7BF" w14:textId="2F0EE005" w:rsidR="00DA0CEA" w:rsidRPr="0017686D" w:rsidRDefault="00DA0CEA" w:rsidP="001616A1">
            <w:pPr>
              <w:pStyle w:val="ListParagraph"/>
              <w:numPr>
                <w:ilvl w:val="0"/>
                <w:numId w:val="6"/>
              </w:numPr>
              <w:spacing w:line="240" w:lineRule="auto"/>
            </w:pPr>
            <w:r w:rsidRPr="0017686D">
              <w:t xml:space="preserve">Explain that when part of the text is </w:t>
            </w:r>
            <w:r w:rsidR="002B249D">
              <w:t>challenging</w:t>
            </w:r>
            <w:r w:rsidRPr="0017686D">
              <w:t xml:space="preserve"> or unusual, using the strategy of Determining Important Ideas can help to find what the author is trying to say.</w:t>
            </w:r>
          </w:p>
          <w:p w14:paraId="0DAD69CD" w14:textId="66FF652F" w:rsidR="001D4C0B" w:rsidRPr="0017686D" w:rsidRDefault="00DA0CEA" w:rsidP="001616A1">
            <w:pPr>
              <w:pStyle w:val="ListParagraph"/>
              <w:numPr>
                <w:ilvl w:val="0"/>
                <w:numId w:val="6"/>
              </w:numPr>
              <w:spacing w:line="240" w:lineRule="auto"/>
            </w:pPr>
            <w:r w:rsidRPr="0017686D">
              <w:t xml:space="preserve">Read </w:t>
            </w:r>
            <w:r w:rsidR="00255627" w:rsidRPr="0017686D">
              <w:t xml:space="preserve">chapter 2 </w:t>
            </w:r>
            <w:r w:rsidR="001D4C0B" w:rsidRPr="0017686D">
              <w:t>and pages 8 and 9 alo</w:t>
            </w:r>
            <w:r w:rsidR="00284884" w:rsidRPr="0017686D">
              <w:t>ud, including the ant question.</w:t>
            </w:r>
          </w:p>
          <w:p w14:paraId="19E7AD1D" w14:textId="77E80F27" w:rsidR="001D4C0B" w:rsidRPr="0017686D" w:rsidRDefault="001D4C0B" w:rsidP="001616A1">
            <w:pPr>
              <w:pStyle w:val="ListParagraph"/>
              <w:numPr>
                <w:ilvl w:val="0"/>
                <w:numId w:val="6"/>
              </w:numPr>
              <w:spacing w:line="240" w:lineRule="auto"/>
            </w:pPr>
            <w:r w:rsidRPr="0017686D">
              <w:t>As a group, brains</w:t>
            </w:r>
            <w:r w:rsidR="00284884" w:rsidRPr="0017686D">
              <w:t>torm the ant question together.</w:t>
            </w:r>
          </w:p>
          <w:p w14:paraId="49071ECC" w14:textId="162954D6" w:rsidR="00AA25CB" w:rsidRPr="0017686D" w:rsidRDefault="00954C13" w:rsidP="00954C13">
            <w:pPr>
              <w:pStyle w:val="ListParagraph"/>
              <w:numPr>
                <w:ilvl w:val="0"/>
                <w:numId w:val="6"/>
              </w:numPr>
              <w:spacing w:line="240" w:lineRule="auto"/>
            </w:pPr>
            <w:r w:rsidRPr="0017686D">
              <w:t>Have</w:t>
            </w:r>
            <w:r w:rsidR="001D4C0B" w:rsidRPr="0017686D">
              <w:t xml:space="preserve"> </w:t>
            </w:r>
            <w:r w:rsidRPr="0017686D">
              <w:t>students look closely at the map on page 8. Ask: “Why do you think Icelandic might have stayed the closest language to old Norse?”</w:t>
            </w:r>
          </w:p>
          <w:p w14:paraId="5FF805E5" w14:textId="20E2ADA1" w:rsidR="00AA25CB" w:rsidRPr="0017686D" w:rsidRDefault="003C358D" w:rsidP="00954C13">
            <w:pPr>
              <w:pStyle w:val="ListParagraph"/>
              <w:numPr>
                <w:ilvl w:val="0"/>
                <w:numId w:val="6"/>
              </w:numPr>
              <w:spacing w:line="240" w:lineRule="auto"/>
            </w:pPr>
            <w:r w:rsidRPr="0017686D">
              <w:t>Read pages 10 and 11 together.</w:t>
            </w:r>
          </w:p>
          <w:p w14:paraId="60B839C6" w14:textId="35CEC199" w:rsidR="00954C13" w:rsidRPr="0017686D" w:rsidRDefault="003C358D" w:rsidP="00954C13">
            <w:pPr>
              <w:pStyle w:val="ListParagraph"/>
              <w:numPr>
                <w:ilvl w:val="0"/>
                <w:numId w:val="6"/>
              </w:numPr>
              <w:spacing w:line="240" w:lineRule="auto"/>
            </w:pPr>
            <w:r w:rsidRPr="0017686D">
              <w:t xml:space="preserve">Ask: “What do you think </w:t>
            </w:r>
            <w:r w:rsidR="00C50CA1" w:rsidRPr="0017686D">
              <w:t xml:space="preserve">is the most confusing part </w:t>
            </w:r>
            <w:r w:rsidR="00EE616E" w:rsidRPr="0017686D">
              <w:t>to understand on these pages</w:t>
            </w:r>
            <w:r w:rsidR="00C50CA1" w:rsidRPr="0017686D">
              <w:t xml:space="preserve">? </w:t>
            </w:r>
            <w:r w:rsidR="00EE616E" w:rsidRPr="0017686D">
              <w:t>How did you know you found it confusing</w:t>
            </w:r>
            <w:r w:rsidR="00C50CA1" w:rsidRPr="0017686D">
              <w:t>?”</w:t>
            </w:r>
            <w:r w:rsidR="00EE616E" w:rsidRPr="0017686D">
              <w:t xml:space="preserve"> (or model what you found confusing).</w:t>
            </w:r>
          </w:p>
          <w:p w14:paraId="67AFFED3" w14:textId="435B3AE1" w:rsidR="00255627" w:rsidRPr="0017686D" w:rsidRDefault="00EE616E" w:rsidP="001616A1">
            <w:pPr>
              <w:pStyle w:val="ListParagraph"/>
              <w:numPr>
                <w:ilvl w:val="0"/>
                <w:numId w:val="6"/>
              </w:numPr>
              <w:spacing w:line="240" w:lineRule="auto"/>
            </w:pPr>
            <w:r w:rsidRPr="0017686D">
              <w:t xml:space="preserve">Discuss together what questions to think about during reading – or research later – that might help to understand the information better. </w:t>
            </w:r>
          </w:p>
          <w:p w14:paraId="2AA9F157" w14:textId="77777777" w:rsidR="001616A1" w:rsidRPr="0017686D" w:rsidRDefault="001616A1" w:rsidP="001616A1">
            <w:pPr>
              <w:pStyle w:val="ListParagraph"/>
              <w:numPr>
                <w:ilvl w:val="0"/>
                <w:numId w:val="6"/>
              </w:numPr>
              <w:spacing w:line="240" w:lineRule="auto"/>
            </w:pPr>
            <w:r w:rsidRPr="0017686D">
              <w:t>Set a purpose for reading from chapter 3 to the end of the book:</w:t>
            </w:r>
          </w:p>
          <w:p w14:paraId="549C5A31" w14:textId="77777777" w:rsidR="001616A1" w:rsidRPr="0017686D" w:rsidRDefault="001616A1" w:rsidP="0008638D">
            <w:pPr>
              <w:pStyle w:val="ListParagraph"/>
              <w:numPr>
                <w:ilvl w:val="1"/>
                <w:numId w:val="6"/>
              </w:numPr>
              <w:spacing w:line="240" w:lineRule="auto"/>
            </w:pPr>
            <w:r w:rsidRPr="0017686D">
              <w:t>Try to notice when you are having trouble understanding what you are reading.</w:t>
            </w:r>
          </w:p>
          <w:p w14:paraId="0D3CDD80" w14:textId="46396FA6" w:rsidR="001616A1" w:rsidRPr="0017686D" w:rsidRDefault="001616A1" w:rsidP="0008638D">
            <w:pPr>
              <w:pStyle w:val="ListParagraph"/>
              <w:numPr>
                <w:ilvl w:val="1"/>
                <w:numId w:val="6"/>
              </w:numPr>
              <w:spacing w:line="240" w:lineRule="auto"/>
            </w:pPr>
            <w:r w:rsidRPr="0017686D">
              <w:t>If you don’t understand, try to practice using a comprehension strategy to help “fix-up” your understanding – maybe Asking Questions, or Determining Important Ideas.</w:t>
            </w:r>
          </w:p>
          <w:p w14:paraId="34EE0B03" w14:textId="7394E125" w:rsidR="00663E6D" w:rsidRPr="0017686D" w:rsidRDefault="001616A1" w:rsidP="0008638D">
            <w:pPr>
              <w:pStyle w:val="ListParagraph"/>
              <w:numPr>
                <w:ilvl w:val="1"/>
                <w:numId w:val="6"/>
              </w:numPr>
              <w:spacing w:line="240" w:lineRule="auto"/>
            </w:pPr>
            <w:r w:rsidRPr="0017686D">
              <w:t xml:space="preserve">Pause at the ant questions to answer </w:t>
            </w:r>
            <w:r w:rsidR="00A57D15" w:rsidRPr="0017686D">
              <w:t>them and</w:t>
            </w:r>
            <w:r w:rsidRPr="0017686D">
              <w:t xml:space="preserve"> read the Ant Tunnel carefully.</w:t>
            </w:r>
          </w:p>
        </w:tc>
      </w:tr>
    </w:tbl>
    <w:p w14:paraId="26998EC6" w14:textId="00D249B9" w:rsidR="00663E6D" w:rsidRPr="0017686D" w:rsidRDefault="00663E6D" w:rsidP="00B81112">
      <w:pPr>
        <w:tabs>
          <w:tab w:val="left" w:pos="6127"/>
        </w:tabs>
        <w:spacing w:after="0"/>
      </w:pPr>
    </w:p>
    <w:tbl>
      <w:tblPr>
        <w:tblStyle w:val="TableGrid"/>
        <w:tblW w:w="9923" w:type="dxa"/>
        <w:tblLook w:val="04A0" w:firstRow="1" w:lastRow="0" w:firstColumn="1" w:lastColumn="0" w:noHBand="0" w:noVBand="1"/>
      </w:tblPr>
      <w:tblGrid>
        <w:gridCol w:w="9923"/>
      </w:tblGrid>
      <w:tr w:rsidR="00B81112" w:rsidRPr="0017686D" w14:paraId="27EBD729" w14:textId="77777777" w:rsidTr="00B81112">
        <w:trPr>
          <w:trHeight w:val="1084"/>
        </w:trPr>
        <w:tc>
          <w:tcPr>
            <w:tcW w:w="9923" w:type="dxa"/>
            <w:tcBorders>
              <w:top w:val="nil"/>
              <w:left w:val="nil"/>
              <w:bottom w:val="nil"/>
              <w:right w:val="nil"/>
            </w:tcBorders>
            <w:shd w:val="clear" w:color="auto" w:fill="D9D9D9" w:themeFill="background1" w:themeFillShade="D9"/>
            <w:vAlign w:val="center"/>
          </w:tcPr>
          <w:p w14:paraId="4F079BF4" w14:textId="77777777" w:rsidR="00B81112" w:rsidRPr="0017686D" w:rsidRDefault="00B81112">
            <w:pPr>
              <w:jc w:val="center"/>
            </w:pPr>
            <w:r w:rsidRPr="0017686D">
              <w:t xml:space="preserve">As students read on independently, you can check in with them to discuss the ant questions, or personalize learning by using the </w:t>
            </w:r>
            <w:r w:rsidRPr="0017686D">
              <w:rPr>
                <w:i/>
              </w:rPr>
              <w:t>Mini-Lessons</w:t>
            </w:r>
            <w:r w:rsidRPr="0017686D">
              <w:t xml:space="preserve"> and </w:t>
            </w:r>
            <w:r w:rsidRPr="0017686D">
              <w:rPr>
                <w:i/>
              </w:rPr>
              <w:t>Fluency, Language and Text Features</w:t>
            </w:r>
            <w:r w:rsidRPr="0017686D">
              <w:t xml:space="preserve"> to scaffold parts of the book that might be unfamiliar or challenging.</w:t>
            </w:r>
          </w:p>
          <w:p w14:paraId="71F6AEC3" w14:textId="77777777" w:rsidR="00B81112" w:rsidRPr="0017686D" w:rsidRDefault="00B81112">
            <w:pPr>
              <w:jc w:val="center"/>
            </w:pPr>
          </w:p>
          <w:p w14:paraId="1F9B67DA" w14:textId="77777777" w:rsidR="00B81112" w:rsidRPr="0017686D" w:rsidRDefault="00B81112">
            <w:pPr>
              <w:jc w:val="center"/>
            </w:pPr>
            <w:r w:rsidRPr="0017686D">
              <w:t>Bring students together again for reflection using the “After Reading” prompts.</w:t>
            </w:r>
          </w:p>
        </w:tc>
      </w:tr>
    </w:tbl>
    <w:p w14:paraId="65CA1CDE" w14:textId="441D2995" w:rsidR="00663E6D" w:rsidRPr="0017686D" w:rsidRDefault="00B81112" w:rsidP="00BC7C8D">
      <w:pPr>
        <w:tabs>
          <w:tab w:val="left" w:pos="6127"/>
        </w:tabs>
        <w:spacing w:after="0"/>
      </w:pPr>
      <w:r w:rsidRPr="0017686D">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41"/>
        <w:gridCol w:w="7206"/>
      </w:tblGrid>
      <w:tr w:rsidR="00BA5472" w:rsidRPr="0017686D" w14:paraId="78C86398" w14:textId="77777777" w:rsidTr="00F97122">
        <w:trPr>
          <w:trHeight w:val="1003"/>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17686D" w:rsidRDefault="00BA5472" w:rsidP="00663E6D">
            <w:pPr>
              <w:spacing w:before="120"/>
              <w:rPr>
                <w:b/>
              </w:rPr>
            </w:pPr>
            <w:r w:rsidRPr="0017686D">
              <w:rPr>
                <w:b/>
              </w:rPr>
              <w:lastRenderedPageBreak/>
              <w:t>After Reading</w:t>
            </w:r>
          </w:p>
        </w:tc>
        <w:tc>
          <w:tcPr>
            <w:tcW w:w="8647" w:type="dxa"/>
            <w:gridSpan w:val="2"/>
            <w:tcBorders>
              <w:left w:val="single" w:sz="8" w:space="0" w:color="BFBFBF" w:themeColor="background1" w:themeShade="BF"/>
              <w:bottom w:val="single" w:sz="8" w:space="0" w:color="BFBFBF" w:themeColor="background1" w:themeShade="BF"/>
            </w:tcBorders>
            <w:vAlign w:val="center"/>
          </w:tcPr>
          <w:p w14:paraId="21BE758B" w14:textId="77777777" w:rsidR="00EE616E" w:rsidRPr="0017686D" w:rsidRDefault="00EE616E" w:rsidP="00EE616E">
            <w:pPr>
              <w:numPr>
                <w:ilvl w:val="0"/>
                <w:numId w:val="10"/>
              </w:numPr>
            </w:pPr>
            <w:r w:rsidRPr="0017686D">
              <w:t>Discuss how thinking about the genre of the book before reading helps to prevent getting stuck by things you aren’t expecting.</w:t>
            </w:r>
          </w:p>
          <w:p w14:paraId="3882411B" w14:textId="1BF133D1" w:rsidR="00EE616E" w:rsidRPr="0017686D" w:rsidRDefault="00EE616E" w:rsidP="00EE616E">
            <w:pPr>
              <w:numPr>
                <w:ilvl w:val="0"/>
                <w:numId w:val="10"/>
              </w:numPr>
            </w:pPr>
            <w:r w:rsidRPr="0017686D">
              <w:t>Ask: “What questions did you think of while you were reading?” and “If they weren’t answered in the book, where could you research the answers to them?”</w:t>
            </w:r>
          </w:p>
          <w:p w14:paraId="43D26062" w14:textId="6632CE31" w:rsidR="00284884" w:rsidRPr="0017686D" w:rsidRDefault="00255627" w:rsidP="002B249D">
            <w:pPr>
              <w:numPr>
                <w:ilvl w:val="0"/>
                <w:numId w:val="10"/>
              </w:numPr>
            </w:pPr>
            <w:r w:rsidRPr="0017686D">
              <w:t xml:space="preserve">Have students think, pair, share about any the parts of the books that they had to work hard to </w:t>
            </w:r>
            <w:r w:rsidR="002B249D">
              <w:t>understand</w:t>
            </w:r>
            <w:r w:rsidRPr="0017686D">
              <w:t xml:space="preserve">. </w:t>
            </w:r>
            <w:r w:rsidR="00747518" w:rsidRPr="0017686D">
              <w:t>Talk about</w:t>
            </w:r>
            <w:r w:rsidR="00573242" w:rsidRPr="0017686D">
              <w:t xml:space="preserve"> which strategies helped/would help to make meaning.</w:t>
            </w:r>
          </w:p>
        </w:tc>
      </w:tr>
      <w:tr w:rsidR="00121EFA" w:rsidRPr="0017686D" w14:paraId="3298B87E" w14:textId="77777777" w:rsidTr="0008638D">
        <w:trPr>
          <w:trHeight w:val="696"/>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2D6AB909" w:rsidR="00121EFA" w:rsidRPr="0017686D" w:rsidRDefault="00B81112" w:rsidP="00663E6D">
            <w:pPr>
              <w:spacing w:before="120"/>
              <w:rPr>
                <w:b/>
              </w:rPr>
            </w:pPr>
            <w:r w:rsidRPr="0017686D">
              <w:rPr>
                <w:b/>
              </w:rPr>
              <w:t>Writing P</w:t>
            </w:r>
            <w:r w:rsidR="00121EFA" w:rsidRPr="0017686D">
              <w:rPr>
                <w:b/>
              </w:rPr>
              <w:t>rompts</w:t>
            </w: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17686D" w:rsidRDefault="00121EFA" w:rsidP="00663E6D">
            <w:pPr>
              <w:rPr>
                <w:i/>
              </w:rPr>
            </w:pPr>
            <w:r w:rsidRPr="0017686D">
              <w:rPr>
                <w:i/>
              </w:rPr>
              <w:t>Fiction</w:t>
            </w:r>
          </w:p>
        </w:tc>
        <w:tc>
          <w:tcPr>
            <w:tcW w:w="7206" w:type="dxa"/>
            <w:tcBorders>
              <w:top w:val="single" w:sz="8" w:space="0" w:color="BFBFBF" w:themeColor="background1" w:themeShade="BF"/>
              <w:bottom w:val="single" w:sz="8" w:space="0" w:color="BFBFBF" w:themeColor="background1" w:themeShade="BF"/>
            </w:tcBorders>
            <w:vAlign w:val="center"/>
          </w:tcPr>
          <w:p w14:paraId="77CA9A92" w14:textId="66BA4235" w:rsidR="00121EFA" w:rsidRPr="0017686D" w:rsidRDefault="00255627" w:rsidP="002B249D">
            <w:r w:rsidRPr="0017686D">
              <w:t>Write about an adventure that Bjørn the Viking (from pages 6 and 7) might go on. Include facts from the text to make your writing more “real”</w:t>
            </w:r>
            <w:r w:rsidR="002B249D">
              <w:t>.</w:t>
            </w:r>
          </w:p>
        </w:tc>
      </w:tr>
      <w:tr w:rsidR="00121EFA" w:rsidRPr="0017686D" w14:paraId="27E2310A" w14:textId="77777777" w:rsidTr="0008638D">
        <w:trPr>
          <w:trHeight w:val="698"/>
        </w:trPr>
        <w:tc>
          <w:tcPr>
            <w:tcW w:w="1276" w:type="dxa"/>
            <w:vMerge/>
            <w:tcBorders>
              <w:right w:val="single" w:sz="8" w:space="0" w:color="BFBFBF" w:themeColor="background1" w:themeShade="BF"/>
            </w:tcBorders>
            <w:shd w:val="clear" w:color="auto" w:fill="auto"/>
          </w:tcPr>
          <w:p w14:paraId="37AAB8BF" w14:textId="77777777" w:rsidR="00121EFA" w:rsidRPr="0017686D"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17686D" w:rsidRDefault="00121EFA" w:rsidP="00663E6D">
            <w:pPr>
              <w:rPr>
                <w:i/>
              </w:rPr>
            </w:pPr>
            <w:r w:rsidRPr="0017686D">
              <w:rPr>
                <w:i/>
              </w:rPr>
              <w:t>Informational</w:t>
            </w:r>
          </w:p>
        </w:tc>
        <w:tc>
          <w:tcPr>
            <w:tcW w:w="7206" w:type="dxa"/>
            <w:tcBorders>
              <w:top w:val="single" w:sz="8" w:space="0" w:color="BFBFBF" w:themeColor="background1" w:themeShade="BF"/>
              <w:bottom w:val="single" w:sz="8" w:space="0" w:color="BFBFBF" w:themeColor="background1" w:themeShade="BF"/>
            </w:tcBorders>
            <w:vAlign w:val="center"/>
          </w:tcPr>
          <w:p w14:paraId="2B7E507A" w14:textId="2199E78A" w:rsidR="00121EFA" w:rsidRPr="0017686D" w:rsidRDefault="00066FD0" w:rsidP="00066FD0">
            <w:r w:rsidRPr="0017686D">
              <w:t>Write an article about “hack silver”. How did it work? What would be useful about it? What was inconvenient about it? How does it compare to how we divide money today?</w:t>
            </w:r>
          </w:p>
        </w:tc>
      </w:tr>
      <w:tr w:rsidR="00121EFA" w:rsidRPr="0017686D" w14:paraId="58C64E7C" w14:textId="77777777" w:rsidTr="0008638D">
        <w:trPr>
          <w:trHeight w:val="711"/>
        </w:trPr>
        <w:tc>
          <w:tcPr>
            <w:tcW w:w="1276" w:type="dxa"/>
            <w:vMerge/>
            <w:tcBorders>
              <w:right w:val="single" w:sz="8" w:space="0" w:color="BFBFBF" w:themeColor="background1" w:themeShade="BF"/>
            </w:tcBorders>
            <w:shd w:val="clear" w:color="auto" w:fill="auto"/>
          </w:tcPr>
          <w:p w14:paraId="7F6CC734" w14:textId="77777777" w:rsidR="00121EFA" w:rsidRPr="0017686D"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208E8A9B" w:rsidR="00121EFA" w:rsidRPr="0017686D" w:rsidRDefault="00B81112" w:rsidP="00663E6D">
            <w:pPr>
              <w:rPr>
                <w:i/>
              </w:rPr>
            </w:pPr>
            <w:r w:rsidRPr="0017686D">
              <w:rPr>
                <w:i/>
              </w:rPr>
              <w:t xml:space="preserve">Letter </w:t>
            </w:r>
            <w:r w:rsidR="00121EFA" w:rsidRPr="0017686D">
              <w:rPr>
                <w:i/>
              </w:rPr>
              <w:t>writing</w:t>
            </w:r>
          </w:p>
        </w:tc>
        <w:tc>
          <w:tcPr>
            <w:tcW w:w="7206" w:type="dxa"/>
            <w:tcBorders>
              <w:top w:val="single" w:sz="8" w:space="0" w:color="BFBFBF" w:themeColor="background1" w:themeShade="BF"/>
              <w:bottom w:val="single" w:sz="8" w:space="0" w:color="BFBFBF" w:themeColor="background1" w:themeShade="BF"/>
            </w:tcBorders>
            <w:vAlign w:val="center"/>
          </w:tcPr>
          <w:p w14:paraId="0B230011" w14:textId="3846CD8E" w:rsidR="00121EFA" w:rsidRPr="0017686D" w:rsidRDefault="00255627" w:rsidP="00663E6D">
            <w:r w:rsidRPr="0017686D">
              <w:t xml:space="preserve">Imagine that you are a </w:t>
            </w:r>
            <w:r w:rsidR="00A57D15" w:rsidRPr="0017686D">
              <w:t>Viking and</w:t>
            </w:r>
            <w:r w:rsidRPr="0017686D">
              <w:t xml:space="preserve"> have sailed to another country to trade. Write a letter home to your family, telling them about what you have seen and what you have done.</w:t>
            </w:r>
          </w:p>
        </w:tc>
      </w:tr>
      <w:tr w:rsidR="00121EFA" w:rsidRPr="0017686D" w14:paraId="4D4305D4" w14:textId="77777777" w:rsidTr="0008638D">
        <w:trPr>
          <w:trHeight w:val="698"/>
        </w:trPr>
        <w:tc>
          <w:tcPr>
            <w:tcW w:w="1276" w:type="dxa"/>
            <w:vMerge/>
            <w:tcBorders>
              <w:right w:val="single" w:sz="8" w:space="0" w:color="BFBFBF" w:themeColor="background1" w:themeShade="BF"/>
            </w:tcBorders>
            <w:shd w:val="clear" w:color="auto" w:fill="auto"/>
          </w:tcPr>
          <w:p w14:paraId="4B71FA02" w14:textId="77777777" w:rsidR="00121EFA" w:rsidRPr="0017686D"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17686D" w:rsidRDefault="00121EFA" w:rsidP="00663E6D">
            <w:pPr>
              <w:rPr>
                <w:i/>
              </w:rPr>
            </w:pPr>
            <w:r w:rsidRPr="0017686D">
              <w:rPr>
                <w:i/>
              </w:rPr>
              <w:t>Opinion</w:t>
            </w:r>
          </w:p>
        </w:tc>
        <w:tc>
          <w:tcPr>
            <w:tcW w:w="7206" w:type="dxa"/>
            <w:tcBorders>
              <w:top w:val="single" w:sz="8" w:space="0" w:color="BFBFBF" w:themeColor="background1" w:themeShade="BF"/>
              <w:bottom w:val="single" w:sz="8" w:space="0" w:color="BFBFBF" w:themeColor="background1" w:themeShade="BF"/>
            </w:tcBorders>
            <w:vAlign w:val="center"/>
          </w:tcPr>
          <w:p w14:paraId="6E910A3F" w14:textId="3E064009" w:rsidR="00121EFA" w:rsidRPr="0017686D" w:rsidRDefault="00066FD0" w:rsidP="00066FD0">
            <w:r w:rsidRPr="0017686D">
              <w:t xml:space="preserve">After learning all about Vikings, do you think they were good people, or bad people, or somewhere in the middle? Write about your opinion and why you think this – remember to use evidence from the book. </w:t>
            </w:r>
          </w:p>
        </w:tc>
      </w:tr>
      <w:tr w:rsidR="00121EFA" w14:paraId="5D2E516D" w14:textId="77777777" w:rsidTr="0008638D">
        <w:trPr>
          <w:trHeight w:val="592"/>
        </w:trPr>
        <w:tc>
          <w:tcPr>
            <w:tcW w:w="1276" w:type="dxa"/>
            <w:vMerge/>
            <w:tcBorders>
              <w:right w:val="single" w:sz="8" w:space="0" w:color="BFBFBF" w:themeColor="background1" w:themeShade="BF"/>
            </w:tcBorders>
            <w:shd w:val="clear" w:color="auto" w:fill="auto"/>
          </w:tcPr>
          <w:p w14:paraId="1095B92C" w14:textId="77777777" w:rsidR="00121EFA" w:rsidRPr="0017686D" w:rsidRDefault="00121EFA" w:rsidP="00121EFA">
            <w:pPr>
              <w:spacing w:before="120"/>
            </w:pPr>
          </w:p>
        </w:tc>
        <w:tc>
          <w:tcPr>
            <w:tcW w:w="1441"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17686D" w:rsidRDefault="00121EFA" w:rsidP="00663E6D">
            <w:pPr>
              <w:rPr>
                <w:i/>
              </w:rPr>
            </w:pPr>
            <w:r w:rsidRPr="0017686D">
              <w:rPr>
                <w:i/>
              </w:rPr>
              <w:t>Research</w:t>
            </w:r>
          </w:p>
        </w:tc>
        <w:tc>
          <w:tcPr>
            <w:tcW w:w="7206" w:type="dxa"/>
            <w:tcBorders>
              <w:top w:val="single" w:sz="8" w:space="0" w:color="BFBFBF" w:themeColor="background1" w:themeShade="BF"/>
            </w:tcBorders>
            <w:vAlign w:val="center"/>
          </w:tcPr>
          <w:p w14:paraId="68068522" w14:textId="6D5C5028" w:rsidR="00121EFA" w:rsidRPr="0017686D" w:rsidRDefault="00255627" w:rsidP="00066FD0">
            <w:r w:rsidRPr="0017686D">
              <w:t xml:space="preserve">Research a famous </w:t>
            </w:r>
            <w:r w:rsidR="00A57D15" w:rsidRPr="0017686D">
              <w:t>Viking and</w:t>
            </w:r>
            <w:r w:rsidRPr="0017686D">
              <w:t xml:space="preserve"> write about your choice. What did </w:t>
            </w:r>
            <w:r w:rsidR="00066FD0" w:rsidRPr="0017686D">
              <w:t>they</w:t>
            </w:r>
            <w:r w:rsidRPr="0017686D">
              <w:t xml:space="preserve"> do? Where did they go? What did they achieve? What are they famous for?</w:t>
            </w:r>
          </w:p>
        </w:tc>
      </w:tr>
    </w:tbl>
    <w:p w14:paraId="18B03153" w14:textId="77777777" w:rsidR="009064BA" w:rsidRDefault="009064BA" w:rsidP="0093422D">
      <w:pPr>
        <w:spacing w:before="120" w:line="240" w:lineRule="auto"/>
      </w:pPr>
    </w:p>
    <w:sectPr w:rsidR="009064BA" w:rsidSect="00B81112">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B9FC" w14:textId="77777777" w:rsidR="003717BF" w:rsidRDefault="003717BF" w:rsidP="00113721">
      <w:pPr>
        <w:spacing w:after="0" w:line="240" w:lineRule="auto"/>
      </w:pPr>
      <w:r>
        <w:separator/>
      </w:r>
    </w:p>
  </w:endnote>
  <w:endnote w:type="continuationSeparator" w:id="0">
    <w:p w14:paraId="2B5186F6" w14:textId="77777777" w:rsidR="003717BF" w:rsidRDefault="003717BF"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EF75BF">
          <w:rPr>
            <w:noProof/>
          </w:rPr>
          <w:t>3</w:t>
        </w:r>
        <w:r>
          <w:rPr>
            <w:noProof/>
          </w:rPr>
          <w:fldChar w:fldCharType="end"/>
        </w:r>
      </w:p>
    </w:sdtContent>
  </w:sdt>
  <w:p w14:paraId="44760C59" w14:textId="2857FB56" w:rsidR="00531530" w:rsidRPr="00C92356" w:rsidRDefault="00C92356" w:rsidP="00C92356">
    <w:pPr>
      <w:pStyle w:val="Footer"/>
      <w:rPr>
        <w:sz w:val="20"/>
        <w:szCs w:val="20"/>
      </w:rPr>
    </w:pPr>
    <w:r w:rsidRPr="00C92356">
      <w:rPr>
        <w:sz w:val="20"/>
        <w:szCs w:val="20"/>
      </w:rP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5D37" w14:textId="77777777" w:rsidR="003717BF" w:rsidRDefault="003717BF" w:rsidP="00113721">
      <w:pPr>
        <w:spacing w:after="0" w:line="240" w:lineRule="auto"/>
      </w:pPr>
      <w:r>
        <w:separator/>
      </w:r>
    </w:p>
  </w:footnote>
  <w:footnote w:type="continuationSeparator" w:id="0">
    <w:p w14:paraId="0774233D" w14:textId="77777777" w:rsidR="003717BF" w:rsidRDefault="003717BF"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9ABC" w14:textId="61ACF362" w:rsidR="00113721" w:rsidRDefault="00C92356" w:rsidP="005D2A25">
    <w:pPr>
      <w:pStyle w:val="Header"/>
      <w:tabs>
        <w:tab w:val="clear" w:pos="4513"/>
        <w:tab w:val="clear" w:pos="9026"/>
        <w:tab w:val="left" w:pos="6930"/>
      </w:tabs>
    </w:pPr>
    <w:r>
      <w:rPr>
        <w:noProof/>
      </w:rPr>
      <w:drawing>
        <wp:anchor distT="0" distB="0" distL="114300" distR="114300" simplePos="0" relativeHeight="251658240" behindDoc="0" locked="0" layoutInCell="1" allowOverlap="1" wp14:anchorId="4301EFE9" wp14:editId="6B6AB3A2">
          <wp:simplePos x="0" y="0"/>
          <wp:positionH relativeFrom="margin">
            <wp:align>center</wp:align>
          </wp:positionH>
          <wp:positionV relativeFrom="paragraph">
            <wp:posOffset>-326390</wp:posOffset>
          </wp:positionV>
          <wp:extent cx="7720330" cy="1376680"/>
          <wp:effectExtent l="0" t="0" r="0" b="0"/>
          <wp:wrapSquare wrapText="bothSides"/>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0330" cy="1376680"/>
                  </a:xfrm>
                  <a:prstGeom prst="rect">
                    <a:avLst/>
                  </a:prstGeom>
                </pic:spPr>
              </pic:pic>
            </a:graphicData>
          </a:graphic>
          <wp14:sizeRelH relativeFrom="margin">
            <wp14:pctWidth>0</wp14:pctWidth>
          </wp14:sizeRelH>
          <wp14:sizeRelV relativeFrom="margin">
            <wp14:pctHeight>0</wp14:pctHeight>
          </wp14:sizeRelV>
        </wp:anchor>
      </w:drawing>
    </w:r>
    <w:r w:rsidR="005D2A25">
      <w:tab/>
    </w:r>
  </w:p>
  <w:p w14:paraId="7DDFFB3F" w14:textId="77777777" w:rsidR="00113721" w:rsidRDefault="00113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6701FF8"/>
    <w:multiLevelType w:val="hybridMultilevel"/>
    <w:tmpl w:val="455EB1A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95C35E3"/>
    <w:multiLevelType w:val="hybridMultilevel"/>
    <w:tmpl w:val="1A604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3"/>
  </w:num>
  <w:num w:numId="4">
    <w:abstractNumId w:val="8"/>
  </w:num>
  <w:num w:numId="5">
    <w:abstractNumId w:val="4"/>
  </w:num>
  <w:num w:numId="6">
    <w:abstractNumId w:val="5"/>
  </w:num>
  <w:num w:numId="7">
    <w:abstractNumId w:val="7"/>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21"/>
    <w:rsid w:val="00066FD0"/>
    <w:rsid w:val="0008638D"/>
    <w:rsid w:val="00113721"/>
    <w:rsid w:val="00113B32"/>
    <w:rsid w:val="00121EFA"/>
    <w:rsid w:val="00130247"/>
    <w:rsid w:val="00160CB1"/>
    <w:rsid w:val="001616A1"/>
    <w:rsid w:val="00162F81"/>
    <w:rsid w:val="00166B28"/>
    <w:rsid w:val="0017686D"/>
    <w:rsid w:val="001C09BB"/>
    <w:rsid w:val="001D4C0B"/>
    <w:rsid w:val="002405E1"/>
    <w:rsid w:val="002510E5"/>
    <w:rsid w:val="00255627"/>
    <w:rsid w:val="00273A4F"/>
    <w:rsid w:val="00284884"/>
    <w:rsid w:val="00294149"/>
    <w:rsid w:val="002B249D"/>
    <w:rsid w:val="002D4E39"/>
    <w:rsid w:val="00305B3A"/>
    <w:rsid w:val="0033496E"/>
    <w:rsid w:val="003717BF"/>
    <w:rsid w:val="003814F2"/>
    <w:rsid w:val="003B1C61"/>
    <w:rsid w:val="003C358D"/>
    <w:rsid w:val="003D41D8"/>
    <w:rsid w:val="003E61DB"/>
    <w:rsid w:val="00420C11"/>
    <w:rsid w:val="00435B1E"/>
    <w:rsid w:val="00447C0C"/>
    <w:rsid w:val="00451B85"/>
    <w:rsid w:val="004965A9"/>
    <w:rsid w:val="004E37AC"/>
    <w:rsid w:val="00531530"/>
    <w:rsid w:val="00573242"/>
    <w:rsid w:val="0059549E"/>
    <w:rsid w:val="005B2593"/>
    <w:rsid w:val="005C5895"/>
    <w:rsid w:val="005D2A25"/>
    <w:rsid w:val="00663E6D"/>
    <w:rsid w:val="00670BDF"/>
    <w:rsid w:val="006A6C30"/>
    <w:rsid w:val="006C78ED"/>
    <w:rsid w:val="0070627B"/>
    <w:rsid w:val="00747518"/>
    <w:rsid w:val="007D402E"/>
    <w:rsid w:val="008046C8"/>
    <w:rsid w:val="0082232D"/>
    <w:rsid w:val="008A0BFC"/>
    <w:rsid w:val="008C753E"/>
    <w:rsid w:val="009064BA"/>
    <w:rsid w:val="0093422D"/>
    <w:rsid w:val="00954C13"/>
    <w:rsid w:val="00954F70"/>
    <w:rsid w:val="00A01306"/>
    <w:rsid w:val="00A26488"/>
    <w:rsid w:val="00A53711"/>
    <w:rsid w:val="00A57D15"/>
    <w:rsid w:val="00AA25CB"/>
    <w:rsid w:val="00AF3260"/>
    <w:rsid w:val="00B43502"/>
    <w:rsid w:val="00B81112"/>
    <w:rsid w:val="00B82262"/>
    <w:rsid w:val="00B96180"/>
    <w:rsid w:val="00BA5472"/>
    <w:rsid w:val="00BC7C8D"/>
    <w:rsid w:val="00C25B75"/>
    <w:rsid w:val="00C41E05"/>
    <w:rsid w:val="00C50CA1"/>
    <w:rsid w:val="00C92356"/>
    <w:rsid w:val="00CF380D"/>
    <w:rsid w:val="00D432B9"/>
    <w:rsid w:val="00D815E1"/>
    <w:rsid w:val="00D85EF7"/>
    <w:rsid w:val="00D91A7E"/>
    <w:rsid w:val="00DA0CEA"/>
    <w:rsid w:val="00DC0A46"/>
    <w:rsid w:val="00E112BF"/>
    <w:rsid w:val="00E1523A"/>
    <w:rsid w:val="00EE01E2"/>
    <w:rsid w:val="00EE616E"/>
    <w:rsid w:val="00EF75BF"/>
    <w:rsid w:val="00F42218"/>
    <w:rsid w:val="00F97122"/>
    <w:rsid w:val="00FC50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948783342">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 w:id="15461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CB80-0163-4BBD-A88C-65EA251B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4</cp:revision>
  <cp:lastPrinted>2018-12-17T00:40:00Z</cp:lastPrinted>
  <dcterms:created xsi:type="dcterms:W3CDTF">2020-05-25T08:48:00Z</dcterms:created>
  <dcterms:modified xsi:type="dcterms:W3CDTF">2020-06-11T15:30:00Z</dcterms:modified>
</cp:coreProperties>
</file>